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990000" w:space="0" w:sz="12" w:val="single"/>
              <w:left w:color="990000" w:space="0" w:sz="12" w:val="single"/>
              <w:bottom w:color="990000" w:space="0" w:sz="12" w:val="single"/>
              <w:right w:color="99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  <w:rtl w:val="0"/>
              </w:rPr>
              <w:t xml:space="preserve">DOCTORAL PARTNERSHIP GUIDE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46"/>
                <w:szCs w:val="4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sz w:val="36"/>
                <w:szCs w:val="36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4608525</wp:posOffset>
            </wp:positionH>
            <wp:positionV relativeFrom="page">
              <wp:posOffset>10759331</wp:posOffset>
            </wp:positionV>
            <wp:extent cx="2947988" cy="1468168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468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8"/>
          <w:szCs w:val="28"/>
          <w:u w:val="single"/>
          <w:shd w:fill="auto" w:val="clear"/>
          <w:vertAlign w:val="baseline"/>
          <w:rtl w:val="0"/>
        </w:rPr>
        <w:t xml:space="preserve">Concept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  <w:t xml:space="preserve">The doctorate is a research training, led by a responsible junior researcher, supervised by several experienced researchers, including a main supervisor. The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professional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relationship between the PhD student and the latter is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known to be one of the key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factors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increasing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the chances of the doctorate completion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e.g.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Gill &amp; Burnard, 2013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Orellana, Darder, Pérez, &amp; Salinas, 2016 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highlight w:val="white"/>
            <w:u w:val="single"/>
            <w:rtl w:val="0"/>
          </w:rPr>
          <w:t xml:space="preserve">Peterse, Lasser, Caglio, Stoltmann, Rusiecka &amp; Schmidt, 2018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Establishing, from the start, a clear communication regarding the expectations of those two partners is a fundamental step for the success of their incoming relationship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i.e.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Lambert, 2013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;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Niclasse, 2019 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Wisker, 2012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The “Doctoral Partnership Guide” (DPG) has been developed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with this in mind, in order to provide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guidelines allowing both partners to 1)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think about their individual expectations and needs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and 2)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promote a transparent communication about those.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8"/>
          <w:szCs w:val="28"/>
          <w:u w:val="single"/>
          <w:shd w:fill="auto" w:val="clear"/>
          <w:vertAlign w:val="baseline"/>
          <w:rtl w:val="0"/>
        </w:rPr>
        <w:t xml:space="preserve">Composition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and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  <w:t xml:space="preserve">This document consists of two parts. </w:t>
        <w:br w:type="textWrapping"/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425" w:hanging="36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Individual preliminary part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It consists of two versions: the “Supervisor” version and the “PhD student” version. In this part, the PhD student and the supervisor fill in their version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individually.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goal is to think and form an opinion on the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diverse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thematics, freely.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40" w:lineRule="auto"/>
        <w:ind w:left="425" w:hanging="36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Common final part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two partners share their respective expectations and agree on the final terms,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in a joint consideration.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This part includes the points proposed in the individual versions. The answers provided in this second part will therefore be the image of a mutual agreement, based on a discussion.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Renewal, contract breach and warning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The DPG has been designed to be renewable.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u w:val="single"/>
          <w:rtl w:val="0"/>
        </w:rPr>
        <w:t xml:space="preserve">It is highly advised that the partners conduct an annual report of their expectations and commitments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. The registration renewal is probably the most appropriate moment, but it could also be at a major turning point of the research project of the doctoral research, as well as when any of the two partners feels a big change has occurred. This tool does not aim at guaranteeing the achievement of the doctoral thesis, but to help living more serene PhDs for both partners.</w:t>
      </w: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6256350</wp:posOffset>
          </wp:positionH>
          <wp:positionV relativeFrom="page">
            <wp:posOffset>0</wp:posOffset>
          </wp:positionV>
          <wp:extent cx="1304703" cy="723900"/>
          <wp:effectExtent b="0" l="0" r="0" t="0"/>
          <wp:wrapTopAndBottom distB="0" dist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703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leftMargin">
            <wp:posOffset>28575</wp:posOffset>
          </wp:positionH>
          <wp:positionV relativeFrom="page">
            <wp:posOffset>28575</wp:posOffset>
          </wp:positionV>
          <wp:extent cx="746522" cy="723900"/>
          <wp:effectExtent b="0" l="0" r="0" t="0"/>
          <wp:wrapTopAndBottom distB="114300" distT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522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color w:val="cc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B92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B923A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B923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B923A2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B923A2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923A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923A2"/>
    <w:rPr>
      <w:rFonts w:ascii="Segoe UI" w:cs="Segoe UI" w:hAnsi="Segoe UI"/>
      <w:sz w:val="18"/>
      <w:szCs w:val="18"/>
    </w:rPr>
  </w:style>
  <w:style w:type="paragraph" w:styleId="Rvision">
    <w:name w:val="Revision"/>
    <w:hidden w:val="1"/>
    <w:uiPriority w:val="99"/>
    <w:semiHidden w:val="1"/>
    <w:rsid w:val="00D131E9"/>
    <w:pPr>
      <w:spacing w:line="240" w:lineRule="auto"/>
    </w:pPr>
  </w:style>
  <w:style w:type="character" w:styleId="Lienhypertexte">
    <w:name w:val="Hyperlink"/>
    <w:basedOn w:val="Policepardfaut"/>
    <w:uiPriority w:val="99"/>
    <w:unhideWhenUsed w:val="1"/>
    <w:rsid w:val="00D131E9"/>
    <w:rPr>
      <w:color w:val="0000ff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D131E9"/>
    <w:rPr>
      <w:color w:val="605e5c"/>
      <w:shd w:color="auto" w:fill="e1dfdd" w:val="clear"/>
    </w:rPr>
  </w:style>
  <w:style w:type="character" w:styleId="cf01" w:customStyle="1">
    <w:name w:val="cf01"/>
    <w:basedOn w:val="Policepardfaut"/>
    <w:rsid w:val="00D131E9"/>
    <w:rPr>
      <w:rFonts w:ascii="Segoe UI" w:cs="Segoe UI" w:hAnsi="Segoe UI" w:hint="default"/>
      <w:sz w:val="18"/>
      <w:szCs w:val="18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94227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 w:val="1"/>
    <w:rsid w:val="00121E7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zenodo.org/record/1402423#.Yvz85nZByUk" TargetMode="External"/><Relationship Id="rId13" Type="http://schemas.openxmlformats.org/officeDocument/2006/relationships/hyperlink" Target="https://www.researchgate.net/publication/309468517_Establishing_and_maintaining_good_supervisory_practices" TargetMode="External"/><Relationship Id="rId12" Type="http://schemas.openxmlformats.org/officeDocument/2006/relationships/hyperlink" Target="http://www.unifr.ch/ipg/fr/equipe/colette-niclas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jds.org/Volume11/IJDSv11p087-103Orellana1629.pdf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oi.org/10.12968/bjon.2008.17.10.2948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UJK1m8c/O+GtAFbx6FL0np/kw==">AMUW2mVCKKsnIZubql6hfhhgE6hMk7Da65fJzqVJ2xMaHwEjrws3V2p2AuO0QTHbWjmXR86VdF5fiL51TOV9QaNWBVGN0kJ/kubbFc/a9V5AwgBJf7kJy4s=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2022-09-22T12:49:00Z</dcterms:created>
  <dc:creator>Halleux Isabelle</dc:creator>
</cp:coreProperties>
</file>