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top w:color="990000" w:space="0" w:sz="12" w:val="single"/>
              <w:left w:color="990000" w:space="0" w:sz="12" w:val="single"/>
              <w:bottom w:color="990000" w:space="0" w:sz="12" w:val="single"/>
              <w:right w:color="990000" w:space="0" w:sz="12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cc0000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cc0000"/>
                <w:sz w:val="36"/>
                <w:szCs w:val="36"/>
                <w:rtl w:val="0"/>
              </w:rPr>
              <w:t xml:space="preserve">DOCTORAL PARTNERSHIP GUIDE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color w:val="cc0000"/>
                <w:sz w:val="46"/>
                <w:szCs w:val="4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cc0000"/>
                <w:sz w:val="36"/>
                <w:szCs w:val="36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4608525</wp:posOffset>
            </wp:positionH>
            <wp:positionV relativeFrom="page">
              <wp:posOffset>10759331</wp:posOffset>
            </wp:positionV>
            <wp:extent cx="2947988" cy="1468168"/>
            <wp:effectExtent b="0" l="0" r="0" t="0"/>
            <wp:wrapTopAndBottom distB="0" dist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7988" cy="14681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c0000"/>
          <w:sz w:val="28"/>
          <w:szCs w:val="28"/>
          <w:u w:val="single"/>
          <w:shd w:fill="auto" w:val="clear"/>
          <w:vertAlign w:val="baseline"/>
          <w:rtl w:val="0"/>
        </w:rPr>
        <w:t xml:space="preserve">Concept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br w:type="textWrapping"/>
        <w:t xml:space="preserve">The doctorate is a research training, led by a responsible junior researcher, supervised by several experienced researchers, including a main supervisor. The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professional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relationship between the PhD student and the latter is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known to be one of the key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factors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increasing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the chances of the doctorate completion (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e.g.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Gill &amp; Burnard, 2013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;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Orellana, Darder, Pérez, &amp; Salinas, 2016 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;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highlight w:val="white"/>
            <w:u w:val="single"/>
            <w:rtl w:val="0"/>
          </w:rPr>
          <w:t xml:space="preserve">Peterse, Lasser, Caglio, Stoltmann, Rusiecka &amp; Schmidt, 2018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Calibri" w:cs="Calibri" w:eastAsia="Calibri" w:hAnsi="Calibri"/>
          <w:i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Establishing, from the start, a clear communication regarding the expectations of those two partners is a fundamental step for the success of their incoming relationship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i.e.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Lambert, 2013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 ;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Niclasse, 2019 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;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Wisker, 2012</w:t>
        </w:r>
      </w:hyperlink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).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u w:val="single"/>
          <w:rtl w:val="0"/>
        </w:rPr>
        <w:t xml:space="preserve">The “Doctoral Partnership Guide” (DPG) has been developed</w:t>
      </w:r>
      <w:r w:rsidDel="00000000" w:rsidR="00000000" w:rsidRPr="00000000">
        <w:rPr>
          <w:rFonts w:ascii="Calibri" w:cs="Calibri" w:eastAsia="Calibri" w:hAnsi="Calibri"/>
          <w:highlight w:val="white"/>
          <w:u w:val="single"/>
          <w:rtl w:val="0"/>
        </w:rPr>
        <w:t xml:space="preserve"> with this in mind, in order to provide</w:t>
      </w:r>
      <w:r w:rsidDel="00000000" w:rsidR="00000000" w:rsidRPr="00000000">
        <w:rPr>
          <w:rFonts w:ascii="Calibri" w:cs="Calibri" w:eastAsia="Calibri" w:hAnsi="Calibri"/>
          <w:highlight w:val="white"/>
          <w:u w:val="single"/>
          <w:rtl w:val="0"/>
        </w:rPr>
        <w:t xml:space="preserve"> guidelines allowing both partners to 1) 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u w:val="single"/>
          <w:rtl w:val="0"/>
        </w:rPr>
        <w:t xml:space="preserve">think about their individual expectations and needs</w:t>
      </w:r>
      <w:r w:rsidDel="00000000" w:rsidR="00000000" w:rsidRPr="00000000">
        <w:rPr>
          <w:rFonts w:ascii="Calibri" w:cs="Calibri" w:eastAsia="Calibri" w:hAnsi="Calibri"/>
          <w:highlight w:val="white"/>
          <w:u w:val="single"/>
          <w:rtl w:val="0"/>
        </w:rPr>
        <w:t xml:space="preserve"> and 2) 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u w:val="single"/>
          <w:rtl w:val="0"/>
        </w:rPr>
        <w:t xml:space="preserve">promote a transparent communication about those.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i w:val="0"/>
          <w:smallCaps w:val="0"/>
          <w:strike w:val="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c0000"/>
          <w:sz w:val="28"/>
          <w:szCs w:val="28"/>
          <w:u w:val="single"/>
          <w:shd w:fill="auto" w:val="clear"/>
          <w:vertAlign w:val="baseline"/>
          <w:rtl w:val="0"/>
        </w:rPr>
        <w:t xml:space="preserve">Composition </w:t>
      </w:r>
      <w:r w:rsidDel="00000000" w:rsidR="00000000" w:rsidRPr="00000000">
        <w:rPr>
          <w:rFonts w:ascii="Calibri" w:cs="Calibri" w:eastAsia="Calibri" w:hAnsi="Calibri"/>
          <w:b w:val="1"/>
          <w:color w:val="cc0000"/>
          <w:sz w:val="28"/>
          <w:szCs w:val="28"/>
          <w:u w:val="single"/>
          <w:rtl w:val="0"/>
        </w:rPr>
        <w:t xml:space="preserve">and 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br w:type="textWrapping"/>
        <w:t xml:space="preserve">This document consists of two parts. </w:t>
        <w:br w:type="textWrapping"/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2"/>
        </w:numPr>
        <w:spacing w:line="240" w:lineRule="auto"/>
        <w:ind w:left="425" w:hanging="360"/>
        <w:jc w:val="both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Individual preliminary part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It consists of two versions: the “Supervisor” version and the “PhD student” version. In this part, the PhD student and the supervisor fill in their version </w:t>
      </w: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individually.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The goal is to think and form an opinion on the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diverse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thematics, freely. 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3"/>
        </w:numPr>
        <w:spacing w:line="240" w:lineRule="auto"/>
        <w:ind w:left="425" w:hanging="360"/>
        <w:jc w:val="both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Common final part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The two partners share their respective expectations and agree on the final terms, </w:t>
      </w: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in a joint consideration.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This part includes the points proposed in the individual versions. The answers provided in this second part will therefore be the image of a mutual agreement, based on a discussion.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cc0000"/>
          <w:sz w:val="28"/>
          <w:szCs w:val="28"/>
          <w:u w:val="single"/>
          <w:rtl w:val="0"/>
        </w:rPr>
        <w:t xml:space="preserve">Renewal, contract breach and warning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sz w:val="21"/>
          <w:szCs w:val="21"/>
          <w:highlight w:val="white"/>
          <w:rtl w:val="0"/>
        </w:rPr>
        <w:t xml:space="preserve">The DPG has been designed to be renewable. </w:t>
      </w:r>
      <w:r w:rsidDel="00000000" w:rsidR="00000000" w:rsidRPr="00000000">
        <w:rPr>
          <w:rFonts w:ascii="Roboto" w:cs="Roboto" w:eastAsia="Roboto" w:hAnsi="Roboto"/>
          <w:sz w:val="21"/>
          <w:szCs w:val="21"/>
          <w:highlight w:val="white"/>
          <w:u w:val="single"/>
          <w:rtl w:val="0"/>
        </w:rPr>
        <w:t xml:space="preserve">It is highly advised that the partners conduct an annual report of their expectations and commitments</w:t>
      </w:r>
      <w:r w:rsidDel="00000000" w:rsidR="00000000" w:rsidRPr="00000000">
        <w:rPr>
          <w:rFonts w:ascii="Roboto" w:cs="Roboto" w:eastAsia="Roboto" w:hAnsi="Roboto"/>
          <w:sz w:val="21"/>
          <w:szCs w:val="21"/>
          <w:highlight w:val="white"/>
          <w:rtl w:val="0"/>
        </w:rPr>
        <w:t xml:space="preserve">. The registration renewal is probably the most appropriate moment, but it could also be at a major turning point of the research project of the doctoral research, as well as when any of the two partners feels a big change has occurred. This tool does not aim at guaranteeing the achievement of the doctoral thesis, but to help living more serene PhDs for both partners.</w:t>
      </w:r>
      <w:r w:rsidDel="00000000" w:rsidR="00000000" w:rsidRPr="00000000">
        <w:rPr>
          <w:rtl w:val="0"/>
        </w:rPr>
      </w:r>
    </w:p>
    <w:sectPr>
      <w:head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6256350</wp:posOffset>
          </wp:positionH>
          <wp:positionV relativeFrom="page">
            <wp:posOffset>0</wp:posOffset>
          </wp:positionV>
          <wp:extent cx="1304703" cy="723900"/>
          <wp:effectExtent b="0" l="0" r="0" t="0"/>
          <wp:wrapTopAndBottom distB="0" distT="0"/>
          <wp:docPr id="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4703" cy="723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leftMargin">
            <wp:posOffset>28575</wp:posOffset>
          </wp:positionH>
          <wp:positionV relativeFrom="page">
            <wp:posOffset>28575</wp:posOffset>
          </wp:positionV>
          <wp:extent cx="746522" cy="723900"/>
          <wp:effectExtent b="0" l="0" r="0" t="0"/>
          <wp:wrapTopAndBottom distB="114300" distT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522" cy="723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color w:val="cc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itre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r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arquedecommentaire">
    <w:name w:val="annotation reference"/>
    <w:basedOn w:val="Policepardfaut"/>
    <w:uiPriority w:val="99"/>
    <w:semiHidden w:val="1"/>
    <w:unhideWhenUsed w:val="1"/>
    <w:rsid w:val="00B923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 w:val="1"/>
    <w:rsid w:val="00B923A2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B923A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 w:val="1"/>
    <w:unhideWhenUsed w:val="1"/>
    <w:rsid w:val="00B923A2"/>
    <w:rPr>
      <w:b w:val="1"/>
      <w:bCs w:val="1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 w:val="1"/>
    <w:rsid w:val="00B923A2"/>
    <w:rPr>
      <w:b w:val="1"/>
      <w:bCs w:val="1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B923A2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B923A2"/>
    <w:rPr>
      <w:rFonts w:ascii="Segoe UI" w:cs="Segoe UI" w:hAnsi="Segoe UI"/>
      <w:sz w:val="18"/>
      <w:szCs w:val="18"/>
    </w:rPr>
  </w:style>
  <w:style w:type="paragraph" w:styleId="Rvision">
    <w:name w:val="Revision"/>
    <w:hidden w:val="1"/>
    <w:uiPriority w:val="99"/>
    <w:semiHidden w:val="1"/>
    <w:rsid w:val="00D131E9"/>
    <w:pPr>
      <w:spacing w:line="240" w:lineRule="auto"/>
    </w:pPr>
  </w:style>
  <w:style w:type="character" w:styleId="Lienhypertexte">
    <w:name w:val="Hyperlink"/>
    <w:basedOn w:val="Policepardfaut"/>
    <w:uiPriority w:val="99"/>
    <w:unhideWhenUsed w:val="1"/>
    <w:rsid w:val="00D131E9"/>
    <w:rPr>
      <w:color w:val="0000ff" w:themeColor="hyperlink"/>
      <w:u w:val="single"/>
    </w:rPr>
  </w:style>
  <w:style w:type="character" w:styleId="Mentionnonrsolue1" w:customStyle="1">
    <w:name w:val="Mention non résolue1"/>
    <w:basedOn w:val="Policepardfaut"/>
    <w:uiPriority w:val="99"/>
    <w:semiHidden w:val="1"/>
    <w:unhideWhenUsed w:val="1"/>
    <w:rsid w:val="00D131E9"/>
    <w:rPr>
      <w:color w:val="605e5c"/>
      <w:shd w:color="auto" w:fill="e1dfdd" w:val="clear"/>
    </w:rPr>
  </w:style>
  <w:style w:type="character" w:styleId="cf01" w:customStyle="1">
    <w:name w:val="cf01"/>
    <w:basedOn w:val="Policepardfaut"/>
    <w:rsid w:val="00D131E9"/>
    <w:rPr>
      <w:rFonts w:ascii="Segoe UI" w:cs="Segoe UI" w:hAnsi="Segoe UI" w:hint="default"/>
      <w:sz w:val="18"/>
      <w:szCs w:val="18"/>
    </w:rPr>
  </w:style>
  <w:style w:type="character" w:styleId="Lienhypertextesuivivisit">
    <w:name w:val="FollowedHyperlink"/>
    <w:basedOn w:val="Policepardfaut"/>
    <w:uiPriority w:val="99"/>
    <w:semiHidden w:val="1"/>
    <w:unhideWhenUsed w:val="1"/>
    <w:rsid w:val="00942277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 w:val="1"/>
    <w:rsid w:val="00121E7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about:blank" TargetMode="External"/><Relationship Id="rId10" Type="http://schemas.openxmlformats.org/officeDocument/2006/relationships/hyperlink" Target="https://zenodo.org/record/1402423#.Yvz85nZByUk" TargetMode="External"/><Relationship Id="rId13" Type="http://schemas.openxmlformats.org/officeDocument/2006/relationships/hyperlink" Target="https://www.researchgate.net/publication/309468517_Establishing_and_maintaining_good_supervisory_practices" TargetMode="External"/><Relationship Id="rId12" Type="http://schemas.openxmlformats.org/officeDocument/2006/relationships/hyperlink" Target="http://www.unifr.ch/ipg/fr/equipe/colette-niclass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ijds.org/Volume11/IJDSv11p087-103Orellana1629.pdf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doi.org/10.12968/bjon.2008.17.10.2948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dUJK1m8c/O+GtAFbx6FL0np/kw==">AMUW2mVCKKsnIZubql6hfhhgE6hMk7Da65fJzqVJ2xMaHwEjrws3V2p2AuO0QTHbWjmXR86VdF5fiL51TOV9QaNWBVGN0kJ/kubbFc/a9V5AwgBJf7kJy4s=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2022-09-22T12:49:00Z</dcterms:created>
  <dc:creator>Halleux Isabelle</dc:creator>
</cp:coreProperties>
</file>