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Calibri" w:cs="Calibri" w:eastAsia="Calibri" w:hAnsi="Calibri"/>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750" w:hRule="atLeast"/>
          <w:tblHeader w:val="0"/>
        </w:trPr>
        <w:tc>
          <w:tcPr>
            <w:tcBorders>
              <w:top w:color="990000" w:space="0" w:sz="12" w:val="single"/>
              <w:left w:color="990000" w:space="0" w:sz="12" w:val="single"/>
              <w:bottom w:color="990000" w:space="0" w:sz="12" w:val="single"/>
              <w:right w:color="99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b w:val="1"/>
                <w:color w:val="cc0000"/>
                <w:sz w:val="36"/>
                <w:szCs w:val="36"/>
                <w:rtl w:val="0"/>
              </w:rPr>
              <w:t xml:space="preserve">GUIDE DE PARTENARIAT DOCTORAL</w:t>
            </w:r>
          </w:p>
          <w:p w:rsidR="00000000" w:rsidDel="00000000" w:rsidP="00000000" w:rsidRDefault="00000000" w:rsidRPr="00000000" w14:paraId="00000003">
            <w:pPr>
              <w:widowControl w:val="0"/>
              <w:spacing w:line="240" w:lineRule="auto"/>
              <w:jc w:val="center"/>
              <w:rPr>
                <w:rFonts w:ascii="Calibri" w:cs="Calibri" w:eastAsia="Calibri" w:hAnsi="Calibri"/>
                <w:b w:val="1"/>
                <w:color w:val="cc0000"/>
                <w:sz w:val="46"/>
                <w:szCs w:val="46"/>
              </w:rPr>
            </w:pPr>
            <w:r w:rsidDel="00000000" w:rsidR="00000000" w:rsidRPr="00000000">
              <w:rPr>
                <w:rFonts w:ascii="Calibri" w:cs="Calibri" w:eastAsia="Calibri" w:hAnsi="Calibri"/>
                <w:color w:val="cc0000"/>
                <w:sz w:val="36"/>
                <w:szCs w:val="36"/>
                <w:rtl w:val="0"/>
              </w:rPr>
              <w:t xml:space="preserve">Introduction</w:t>
            </w:r>
            <w:r w:rsidDel="00000000" w:rsidR="00000000" w:rsidRPr="00000000">
              <w:rPr>
                <w:rtl w:val="0"/>
              </w:rPr>
            </w:r>
          </w:p>
        </w:tc>
      </w:tr>
    </w:tbl>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Pr>
        <w:drawing>
          <wp:anchor allowOverlap="1" behindDoc="0" distB="0" distT="0" distL="0" distR="0" hidden="0" layoutInCell="1" locked="0" relativeHeight="0" simplePos="0">
            <wp:simplePos x="0" y="0"/>
            <wp:positionH relativeFrom="page">
              <wp:posOffset>4608525</wp:posOffset>
            </wp:positionH>
            <wp:positionV relativeFrom="page">
              <wp:posOffset>10759331</wp:posOffset>
            </wp:positionV>
            <wp:extent cx="2947988" cy="1468168"/>
            <wp:effectExtent b="0" l="0" r="0" t="0"/>
            <wp:wrapTopAndBottom distB="0" dist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47988" cy="1468168"/>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cc0000"/>
          <w:sz w:val="28"/>
          <w:szCs w:val="28"/>
          <w:u w:val="single"/>
          <w:shd w:fill="auto" w:val="clear"/>
          <w:vertAlign w:val="baseline"/>
          <w:rtl w:val="0"/>
        </w:rPr>
        <w:t xml:space="preserve">Concept </w:t>
      </w:r>
      <w:r w:rsidDel="00000000" w:rsidR="00000000" w:rsidRPr="00000000">
        <w:rPr>
          <w:rtl w:val="0"/>
        </w:rPr>
      </w:r>
    </w:p>
    <w:p w:rsidR="00000000" w:rsidDel="00000000" w:rsidP="00000000" w:rsidRDefault="00000000" w:rsidRPr="00000000" w14:paraId="00000006">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highlight w:val="white"/>
          <w:rtl w:val="0"/>
        </w:rPr>
        <w:br w:type="textWrapping"/>
        <w:t xml:space="preserve">Le doctorat est une formation à la recherche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conduite par un∙e chercheur∙euse junior responsable, qui est encadré∙e par des chercheur∙euses expérimenté∙es, dont un∙e superviseur∙e principal∙e. </w:t>
      </w:r>
      <w:r w:rsidDel="00000000" w:rsidR="00000000" w:rsidRPr="00000000">
        <w:rPr>
          <w:rFonts w:ascii="Calibri" w:cs="Calibri" w:eastAsia="Calibri" w:hAnsi="Calibri"/>
          <w:highlight w:val="white"/>
          <w:rtl w:val="0"/>
        </w:rPr>
        <w:t xml:space="preserve">La relation professionnelle entre le</w:t>
      </w:r>
      <w:r w:rsidDel="00000000" w:rsidR="00000000" w:rsidRPr="00000000">
        <w:rPr>
          <w:rFonts w:ascii="Calibri" w:cs="Calibri" w:eastAsia="Calibri" w:hAnsi="Calibri"/>
          <w:sz w:val="22"/>
          <w:szCs w:val="22"/>
          <w:rtl w:val="0"/>
        </w:rPr>
        <w:t xml:space="preserve">∙la doctorant∙e et</w:t>
      </w:r>
      <w:r w:rsidDel="00000000" w:rsidR="00000000" w:rsidRPr="00000000">
        <w:rPr>
          <w:rFonts w:ascii="Calibri" w:cs="Calibri" w:eastAsia="Calibri" w:hAnsi="Calibri"/>
          <w:highlight w:val="white"/>
          <w:rtl w:val="0"/>
        </w:rPr>
        <w:t xml:space="preserve"> ce</w:t>
      </w:r>
      <w:r w:rsidDel="00000000" w:rsidR="00000000" w:rsidRPr="00000000">
        <w:rPr>
          <w:rFonts w:ascii="Calibri" w:cs="Calibri" w:eastAsia="Calibri" w:hAnsi="Calibri"/>
          <w:sz w:val="22"/>
          <w:szCs w:val="22"/>
          <w:rtl w:val="0"/>
        </w:rPr>
        <w:t xml:space="preserve">∙cette dernier∙ère est connue pour être l’un des facteurs-clé augmentant les chances de finalisation du doctorat (</w:t>
      </w:r>
      <w:r w:rsidDel="00000000" w:rsidR="00000000" w:rsidRPr="00000000">
        <w:rPr>
          <w:rFonts w:ascii="Calibri" w:cs="Calibri" w:eastAsia="Calibri" w:hAnsi="Calibri"/>
          <w:i w:val="1"/>
          <w:sz w:val="22"/>
          <w:szCs w:val="22"/>
          <w:rtl w:val="0"/>
        </w:rPr>
        <w:t xml:space="preserve">e.g. </w:t>
      </w:r>
      <w:hyperlink r:id="rId8">
        <w:r w:rsidDel="00000000" w:rsidR="00000000" w:rsidRPr="00000000">
          <w:rPr>
            <w:rFonts w:ascii="Calibri" w:cs="Calibri" w:eastAsia="Calibri" w:hAnsi="Calibri"/>
            <w:color w:val="0000ff"/>
            <w:u w:val="single"/>
            <w:rtl w:val="0"/>
          </w:rPr>
          <w:t xml:space="preserve">Gill &amp; Burnard, 2013</w:t>
        </w:r>
      </w:hyperlink>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0000ff"/>
            <w:u w:val="single"/>
            <w:rtl w:val="0"/>
          </w:rPr>
          <w:t xml:space="preserve">Orellana, Darder, Pérez, &amp; Salinas, 2016 </w:t>
        </w:r>
      </w:hyperlink>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0000ff"/>
            <w:highlight w:val="white"/>
            <w:u w:val="single"/>
            <w:rtl w:val="0"/>
          </w:rPr>
          <w:t xml:space="preserve">Peterse, Lasser, Caglio, Stoltmann, Rusiecka &amp; Schmidt, 2018</w:t>
        </w:r>
      </w:hyperlink>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p w:rsidR="00000000" w:rsidDel="00000000" w:rsidP="00000000" w:rsidRDefault="00000000" w:rsidRPr="00000000" w14:paraId="00000007">
      <w:pPr>
        <w:widowControl w:val="0"/>
        <w:spacing w:line="240" w:lineRule="auto"/>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8">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Établir, dès le départ, une communication transparente sur les attentes de ces deux partenaires est une étape fondamentale pour le succès de leur future relation </w:t>
      </w:r>
      <w:r w:rsidDel="00000000" w:rsidR="00000000" w:rsidRPr="00000000">
        <w:rPr>
          <w:rFonts w:ascii="Calibri" w:cs="Calibri" w:eastAsia="Calibri" w:hAnsi="Calibri"/>
          <w:i w:val="1"/>
          <w:rtl w:val="0"/>
        </w:rPr>
        <w:t xml:space="preserve">(i.e. </w:t>
      </w:r>
      <w:hyperlink r:id="rId11">
        <w:r w:rsidDel="00000000" w:rsidR="00000000" w:rsidRPr="00000000">
          <w:rPr>
            <w:rFonts w:ascii="Calibri" w:cs="Calibri" w:eastAsia="Calibri" w:hAnsi="Calibri"/>
            <w:color w:val="0000ff"/>
            <w:u w:val="single"/>
            <w:rtl w:val="0"/>
          </w:rPr>
          <w:t xml:space="preserve">Lambert, 2013</w:t>
        </w:r>
      </w:hyperlink>
      <w:r w:rsidDel="00000000" w:rsidR="00000000" w:rsidRPr="00000000">
        <w:rPr>
          <w:rFonts w:ascii="Calibri" w:cs="Calibri" w:eastAsia="Calibri" w:hAnsi="Calibri"/>
          <w:i w:val="1"/>
          <w:rtl w:val="0"/>
        </w:rPr>
        <w:t xml:space="preserve"> ; </w:t>
      </w:r>
      <w:hyperlink r:id="rId12">
        <w:r w:rsidDel="00000000" w:rsidR="00000000" w:rsidRPr="00000000">
          <w:rPr>
            <w:rFonts w:ascii="Calibri" w:cs="Calibri" w:eastAsia="Calibri" w:hAnsi="Calibri"/>
            <w:color w:val="0000ff"/>
            <w:u w:val="single"/>
            <w:rtl w:val="0"/>
          </w:rPr>
          <w:t xml:space="preserve">Niclasse, 2019 </w:t>
        </w:r>
      </w:hyperlink>
      <w:r w:rsidDel="00000000" w:rsidR="00000000" w:rsidRPr="00000000">
        <w:rPr>
          <w:rFonts w:ascii="Calibri" w:cs="Calibri" w:eastAsia="Calibri" w:hAnsi="Calibri"/>
          <w:i w:val="1"/>
          <w:rtl w:val="0"/>
        </w:rPr>
        <w:t xml:space="preserve">; </w:t>
      </w:r>
      <w:hyperlink r:id="rId13">
        <w:r w:rsidDel="00000000" w:rsidR="00000000" w:rsidRPr="00000000">
          <w:rPr>
            <w:rFonts w:ascii="Calibri" w:cs="Calibri" w:eastAsia="Calibri" w:hAnsi="Calibri"/>
            <w:color w:val="0000ff"/>
            <w:u w:val="single"/>
            <w:rtl w:val="0"/>
          </w:rPr>
          <w:t xml:space="preserve">Wisker, 2012</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9">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i w:val="1"/>
        </w:rPr>
      </w:pPr>
      <w:r w:rsidDel="00000000" w:rsidR="00000000" w:rsidRPr="00000000">
        <w:rPr>
          <w:rFonts w:ascii="Calibri" w:cs="Calibri" w:eastAsia="Calibri" w:hAnsi="Calibri"/>
          <w:highlight w:val="white"/>
          <w:u w:val="single"/>
          <w:rtl w:val="0"/>
        </w:rPr>
        <w:t xml:space="preserve">Le « Guide de Partenariat Doctoral » (GPD) a été élaboré dans cette optique, afin d’offrir des guidelines permettant aux partenaires de</w:t>
      </w:r>
      <w:r w:rsidDel="00000000" w:rsidR="00000000" w:rsidRPr="00000000">
        <w:rPr>
          <w:rFonts w:ascii="Calibri" w:cs="Calibri" w:eastAsia="Calibri" w:hAnsi="Calibri"/>
          <w:b w:val="1"/>
          <w:highlight w:val="white"/>
          <w:u w:val="single"/>
          <w:rtl w:val="0"/>
        </w:rPr>
        <w:t xml:space="preserve"> 1) réfléchir à leurs attentes et à leurs besoins individuels</w:t>
      </w:r>
      <w:r w:rsidDel="00000000" w:rsidR="00000000" w:rsidRPr="00000000">
        <w:rPr>
          <w:rFonts w:ascii="Calibri" w:cs="Calibri" w:eastAsia="Calibri" w:hAnsi="Calibri"/>
          <w:highlight w:val="white"/>
          <w:u w:val="single"/>
          <w:rtl w:val="0"/>
        </w:rPr>
        <w:t xml:space="preserve"> et </w:t>
      </w:r>
      <w:r w:rsidDel="00000000" w:rsidR="00000000" w:rsidRPr="00000000">
        <w:rPr>
          <w:rFonts w:ascii="Calibri" w:cs="Calibri" w:eastAsia="Calibri" w:hAnsi="Calibri"/>
          <w:b w:val="1"/>
          <w:highlight w:val="white"/>
          <w:u w:val="single"/>
          <w:rtl w:val="0"/>
        </w:rPr>
        <w:t xml:space="preserve">2) de favoriser une communication transparente à propos de ceux-ci.</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sz w:val="28"/>
          <w:szCs w:val="28"/>
          <w:shd w:fill="auto" w:val="clear"/>
          <w:vertAlign w:val="baseline"/>
        </w:rPr>
      </w:pPr>
      <w:r w:rsidDel="00000000" w:rsidR="00000000" w:rsidRPr="00000000">
        <w:rPr>
          <w:rFonts w:ascii="Calibri" w:cs="Calibri" w:eastAsia="Calibri" w:hAnsi="Calibri"/>
          <w:b w:val="1"/>
          <w:i w:val="0"/>
          <w:smallCaps w:val="0"/>
          <w:strike w:val="0"/>
          <w:color w:val="cc0000"/>
          <w:sz w:val="28"/>
          <w:szCs w:val="28"/>
          <w:u w:val="single"/>
          <w:shd w:fill="auto" w:val="clear"/>
          <w:vertAlign w:val="baseline"/>
          <w:rtl w:val="0"/>
        </w:rPr>
        <w:t xml:space="preserve">Composition et utilisation </w:t>
      </w: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Ce document est composé de deux parties.</w:t>
        <w:br w:type="textWrapping"/>
      </w:r>
    </w:p>
    <w:p w:rsidR="00000000" w:rsidDel="00000000" w:rsidP="00000000" w:rsidRDefault="00000000" w:rsidRPr="00000000" w14:paraId="0000000E">
      <w:pPr>
        <w:widowControl w:val="0"/>
        <w:numPr>
          <w:ilvl w:val="0"/>
          <w:numId w:val="2"/>
        </w:numPr>
        <w:spacing w:line="240" w:lineRule="auto"/>
        <w:ind w:left="425" w:hanging="36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Partie préliminaire individuelle</w:t>
      </w:r>
    </w:p>
    <w:p w:rsidR="00000000" w:rsidDel="00000000" w:rsidP="00000000" w:rsidRDefault="00000000" w:rsidRPr="00000000" w14:paraId="0000000F">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Elle comporte deux versions : la version “Superviseur·e” et la version “Doctorant·e”. Dans cette partie, le·la doctorant·e et le·la superviseur·e remplissent leur version </w:t>
      </w:r>
      <w:r w:rsidDel="00000000" w:rsidR="00000000" w:rsidRPr="00000000">
        <w:rPr>
          <w:rFonts w:ascii="Calibri" w:cs="Calibri" w:eastAsia="Calibri" w:hAnsi="Calibri"/>
          <w:i w:val="1"/>
          <w:highlight w:val="white"/>
          <w:rtl w:val="0"/>
        </w:rPr>
        <w:t xml:space="preserve">individuellement</w:t>
      </w:r>
      <w:r w:rsidDel="00000000" w:rsidR="00000000" w:rsidRPr="00000000">
        <w:rPr>
          <w:rFonts w:ascii="Calibri" w:cs="Calibri" w:eastAsia="Calibri" w:hAnsi="Calibri"/>
          <w:highlight w:val="white"/>
          <w:rtl w:val="0"/>
        </w:rPr>
        <w:t xml:space="preserve">. Le but est de réfléchir et de se positionner sur les diverses thématiques proposées, en toute liberté.</w:t>
      </w:r>
    </w:p>
    <w:p w:rsidR="00000000" w:rsidDel="00000000" w:rsidP="00000000" w:rsidRDefault="00000000" w:rsidRPr="00000000" w14:paraId="00000010">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widowControl w:val="0"/>
        <w:numPr>
          <w:ilvl w:val="0"/>
          <w:numId w:val="3"/>
        </w:numPr>
        <w:spacing w:line="240" w:lineRule="auto"/>
        <w:ind w:left="425" w:hanging="36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Partie finale commune</w:t>
      </w:r>
    </w:p>
    <w:p w:rsidR="00000000" w:rsidDel="00000000" w:rsidP="00000000" w:rsidRDefault="00000000" w:rsidRPr="00000000" w14:paraId="00000012">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deux partenaires partagent leurs attentes respectives et s’accordent sur les termes finaux,</w:t>
      </w:r>
      <w:r w:rsidDel="00000000" w:rsidR="00000000" w:rsidRPr="00000000">
        <w:rPr>
          <w:rFonts w:ascii="Calibri" w:cs="Calibri" w:eastAsia="Calibri" w:hAnsi="Calibri"/>
          <w:i w:val="1"/>
          <w:highlight w:val="white"/>
          <w:rtl w:val="0"/>
        </w:rPr>
        <w:t xml:space="preserve"> dans une réflexion commune. </w:t>
      </w:r>
      <w:r w:rsidDel="00000000" w:rsidR="00000000" w:rsidRPr="00000000">
        <w:rPr>
          <w:rFonts w:ascii="Calibri" w:cs="Calibri" w:eastAsia="Calibri" w:hAnsi="Calibri"/>
          <w:highlight w:val="white"/>
          <w:rtl w:val="0"/>
        </w:rPr>
        <w:t xml:space="preserve">Cette partie reprend les différents points de réflexion proposés dans les versions individuelles. Les réponses données dans cette seconde partie seront ainsi le reflet d’une acceptation mutuelle, sur la base d’une discussion.</w:t>
      </w:r>
    </w:p>
    <w:p w:rsidR="00000000" w:rsidDel="00000000" w:rsidP="00000000" w:rsidRDefault="00000000" w:rsidRPr="00000000" w14:paraId="00000013">
      <w:pPr>
        <w:widowControl w:val="0"/>
        <w:spacing w:line="240" w:lineRule="auto"/>
        <w:jc w:val="both"/>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jc w:val="both"/>
        <w:rPr>
          <w:b w:val="1"/>
          <w:sz w:val="28"/>
          <w:szCs w:val="28"/>
        </w:rPr>
      </w:pPr>
      <w:r w:rsidDel="00000000" w:rsidR="00000000" w:rsidRPr="00000000">
        <w:rPr>
          <w:rFonts w:ascii="Calibri" w:cs="Calibri" w:eastAsia="Calibri" w:hAnsi="Calibri"/>
          <w:b w:val="1"/>
          <w:color w:val="cc0000"/>
          <w:sz w:val="28"/>
          <w:szCs w:val="28"/>
          <w:u w:val="single"/>
          <w:rtl w:val="0"/>
        </w:rPr>
        <w:t xml:space="preserve">Renouvellement, rupture de contrat et mise en garde</w:t>
      </w: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rPr>
      </w:pP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highlight w:val="white"/>
          <w:u w:val="single"/>
          <w:rtl w:val="0"/>
        </w:rPr>
        <w:t xml:space="preserve">Il est vivement recommandé aux partenaires de réaliser un bilan annuel de leurs attentes et engagements, à l'occasion de chaque renouvellement d'inscription.</w:t>
      </w:r>
      <w:r w:rsidDel="00000000" w:rsidR="00000000" w:rsidRPr="00000000">
        <w:rPr>
          <w:rFonts w:ascii="Calibri" w:cs="Calibri" w:eastAsia="Calibri" w:hAnsi="Calibri"/>
          <w:highlight w:val="white"/>
          <w:rtl w:val="0"/>
        </w:rPr>
        <w:t xml:space="preserve"> Le GPD est en effet renouvelable et adaptable chaque année ou à chaque tournant majeur du projet de recherche, </w:t>
      </w:r>
      <w:r w:rsidDel="00000000" w:rsidR="00000000" w:rsidRPr="00000000">
        <w:rPr>
          <w:rFonts w:ascii="Calibri" w:cs="Calibri" w:eastAsia="Calibri" w:hAnsi="Calibri"/>
          <w:shd w:fill="fdfdfd" w:val="clear"/>
          <w:rtl w:val="0"/>
        </w:rPr>
        <w:t xml:space="preserve">l'avancée dans la recherche doctorale et les besoins des partenaires étant soumis à évolution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La réussite de la thèse de doctorat n'est pas garantie par la signature de cet outil mais permet des années de partenariat doctoral plus sereines.</w:t>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anchor allowOverlap="1" behindDoc="0" distB="0" distT="0" distL="0" distR="0" hidden="0" layoutInCell="1" locked="0" relativeHeight="0" simplePos="0">
          <wp:simplePos x="0" y="0"/>
          <wp:positionH relativeFrom="page">
            <wp:posOffset>6256350</wp:posOffset>
          </wp:positionH>
          <wp:positionV relativeFrom="page">
            <wp:posOffset>0</wp:posOffset>
          </wp:positionV>
          <wp:extent cx="1304703" cy="7239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04703" cy="7239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leftMargin">
            <wp:posOffset>28575</wp:posOffset>
          </wp:positionH>
          <wp:positionV relativeFrom="page">
            <wp:posOffset>28575</wp:posOffset>
          </wp:positionV>
          <wp:extent cx="746522" cy="723900"/>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46522" cy="7239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cc0000"/>
        <w:sz w:val="28"/>
        <w:szCs w:val="28"/>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Marquedecommentaire">
    <w:name w:val="annotation reference"/>
    <w:basedOn w:val="Policepardfaut"/>
    <w:uiPriority w:val="99"/>
    <w:semiHidden w:val="1"/>
    <w:unhideWhenUsed w:val="1"/>
    <w:rsid w:val="00B923A2"/>
    <w:rPr>
      <w:sz w:val="16"/>
      <w:szCs w:val="16"/>
    </w:rPr>
  </w:style>
  <w:style w:type="paragraph" w:styleId="Commentaire">
    <w:name w:val="annotation text"/>
    <w:basedOn w:val="Normal"/>
    <w:link w:val="CommentaireCar"/>
    <w:uiPriority w:val="99"/>
    <w:unhideWhenUsed w:val="1"/>
    <w:rsid w:val="00B923A2"/>
    <w:pPr>
      <w:spacing w:line="240" w:lineRule="auto"/>
    </w:pPr>
    <w:rPr>
      <w:sz w:val="20"/>
      <w:szCs w:val="20"/>
    </w:rPr>
  </w:style>
  <w:style w:type="character" w:styleId="CommentaireCar" w:customStyle="1">
    <w:name w:val="Commentaire Car"/>
    <w:basedOn w:val="Policepardfaut"/>
    <w:link w:val="Commentaire"/>
    <w:uiPriority w:val="99"/>
    <w:rsid w:val="00B923A2"/>
    <w:rPr>
      <w:sz w:val="20"/>
      <w:szCs w:val="20"/>
    </w:rPr>
  </w:style>
  <w:style w:type="paragraph" w:styleId="Objetducommentaire">
    <w:name w:val="annotation subject"/>
    <w:basedOn w:val="Commentaire"/>
    <w:next w:val="Commentaire"/>
    <w:link w:val="ObjetducommentaireCar"/>
    <w:uiPriority w:val="99"/>
    <w:semiHidden w:val="1"/>
    <w:unhideWhenUsed w:val="1"/>
    <w:rsid w:val="00B923A2"/>
    <w:rPr>
      <w:b w:val="1"/>
      <w:bCs w:val="1"/>
    </w:rPr>
  </w:style>
  <w:style w:type="character" w:styleId="ObjetducommentaireCar" w:customStyle="1">
    <w:name w:val="Objet du commentaire Car"/>
    <w:basedOn w:val="CommentaireCar"/>
    <w:link w:val="Objetducommentaire"/>
    <w:uiPriority w:val="99"/>
    <w:semiHidden w:val="1"/>
    <w:rsid w:val="00B923A2"/>
    <w:rPr>
      <w:b w:val="1"/>
      <w:bCs w:val="1"/>
      <w:sz w:val="20"/>
      <w:szCs w:val="20"/>
    </w:rPr>
  </w:style>
  <w:style w:type="paragraph" w:styleId="Textedebulles">
    <w:name w:val="Balloon Text"/>
    <w:basedOn w:val="Normal"/>
    <w:link w:val="TextedebullesCar"/>
    <w:uiPriority w:val="99"/>
    <w:semiHidden w:val="1"/>
    <w:unhideWhenUsed w:val="1"/>
    <w:rsid w:val="00B923A2"/>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B923A2"/>
    <w:rPr>
      <w:rFonts w:ascii="Segoe UI" w:cs="Segoe UI" w:hAnsi="Segoe UI"/>
      <w:sz w:val="18"/>
      <w:szCs w:val="18"/>
    </w:rPr>
  </w:style>
  <w:style w:type="paragraph" w:styleId="Rvision">
    <w:name w:val="Revision"/>
    <w:hidden w:val="1"/>
    <w:uiPriority w:val="99"/>
    <w:semiHidden w:val="1"/>
    <w:rsid w:val="00D131E9"/>
    <w:pPr>
      <w:spacing w:line="240" w:lineRule="auto"/>
    </w:pPr>
  </w:style>
  <w:style w:type="character" w:styleId="Lienhypertexte">
    <w:name w:val="Hyperlink"/>
    <w:basedOn w:val="Policepardfaut"/>
    <w:uiPriority w:val="99"/>
    <w:unhideWhenUsed w:val="1"/>
    <w:rsid w:val="00D131E9"/>
    <w:rPr>
      <w:color w:val="0000ff" w:themeColor="hyperlink"/>
      <w:u w:val="single"/>
    </w:rPr>
  </w:style>
  <w:style w:type="character" w:styleId="Mentionnonrsolue1" w:customStyle="1">
    <w:name w:val="Mention non résolue1"/>
    <w:basedOn w:val="Policepardfaut"/>
    <w:uiPriority w:val="99"/>
    <w:semiHidden w:val="1"/>
    <w:unhideWhenUsed w:val="1"/>
    <w:rsid w:val="00D131E9"/>
    <w:rPr>
      <w:color w:val="605e5c"/>
      <w:shd w:color="auto" w:fill="e1dfdd" w:val="clear"/>
    </w:rPr>
  </w:style>
  <w:style w:type="character" w:styleId="cf01" w:customStyle="1">
    <w:name w:val="cf01"/>
    <w:basedOn w:val="Policepardfaut"/>
    <w:rsid w:val="00D131E9"/>
    <w:rPr>
      <w:rFonts w:ascii="Segoe UI" w:cs="Segoe UI" w:hAnsi="Segoe UI" w:hint="default"/>
      <w:sz w:val="18"/>
      <w:szCs w:val="18"/>
    </w:rPr>
  </w:style>
  <w:style w:type="character" w:styleId="Lienhypertextesuivivisit">
    <w:name w:val="FollowedHyperlink"/>
    <w:basedOn w:val="Policepardfaut"/>
    <w:uiPriority w:val="99"/>
    <w:semiHidden w:val="1"/>
    <w:unhideWhenUsed w:val="1"/>
    <w:rsid w:val="00942277"/>
    <w:rPr>
      <w:color w:val="800080" w:themeColor="followedHyperlink"/>
      <w:u w:val="single"/>
    </w:rPr>
  </w:style>
  <w:style w:type="paragraph" w:styleId="Paragraphedeliste">
    <w:name w:val="List Paragraph"/>
    <w:basedOn w:val="Normal"/>
    <w:uiPriority w:val="34"/>
    <w:qFormat w:val="1"/>
    <w:rsid w:val="00121E7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zenodo.org/record/1402423#.Yvz85nZByUk" TargetMode="External"/><Relationship Id="rId13" Type="http://schemas.openxmlformats.org/officeDocument/2006/relationships/hyperlink" Target="https://www.researchgate.net/publication/309468517_Establishing_and_maintaining_good_supervisory_practices" TargetMode="External"/><Relationship Id="rId12" Type="http://schemas.openxmlformats.org/officeDocument/2006/relationships/hyperlink" Target="http://www.unifr.ch/ipg/fr/equipe/colette-niclas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jds.org/Volume11/IJDSv11p087-103Orellana1629.pdf"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doi.org/10.12968/bjon.2008.17.10.294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HSxErMBrA+YjlK15XzomAaUtg==">AMUW2mUPT64054jzcIXqfbeBlc2qhcFt0xibDyDzlPGEbJqFqPZ/CRPaTsPv9GkrwAXHx8emGsjpjxBmvl8xro+Gz6/9C9o88tahT0Y3ZytQzYA0NWjmmag=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2022-09-22T12:49:00Z</dcterms:created>
  <dc:creator>Halleux Isabelle</dc:creator>
</cp:coreProperties>
</file>